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Default="00E35E4A"/>
    <w:tbl>
      <w:tblPr>
        <w:tblW w:w="14056" w:type="dxa"/>
        <w:tblInd w:w="709" w:type="dxa"/>
        <w:tblLook w:val="04A0" w:firstRow="1" w:lastRow="0" w:firstColumn="1" w:lastColumn="0" w:noHBand="0" w:noVBand="1"/>
      </w:tblPr>
      <w:tblGrid>
        <w:gridCol w:w="1756"/>
        <w:gridCol w:w="2497"/>
        <w:gridCol w:w="9780"/>
        <w:gridCol w:w="23"/>
      </w:tblGrid>
      <w:tr w:rsidR="00E35E4A" w:rsidRPr="00D86A2C" w14:paraId="0A890BEA" w14:textId="77777777" w:rsidTr="002A0E72">
        <w:trPr>
          <w:trHeight w:val="313"/>
        </w:trPr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D86A2C" w:rsidRDefault="00E35E4A" w:rsidP="00051612">
            <w:pPr>
              <w:jc w:val="center"/>
              <w:rPr>
                <w:rFonts w:ascii="Trebuchet MS" w:hAnsi="Trebuchet MS"/>
                <w:b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Project information</w:t>
            </w:r>
          </w:p>
        </w:tc>
      </w:tr>
      <w:tr w:rsidR="00E35E4A" w:rsidRPr="00D86A2C" w14:paraId="46267387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4E95517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CALL FOR PROPOSALS</w:t>
            </w:r>
          </w:p>
        </w:tc>
        <w:tc>
          <w:tcPr>
            <w:tcW w:w="980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714AF947" w:rsidR="00E35E4A" w:rsidRPr="006E0420" w:rsidRDefault="005F117C" w:rsidP="002A0E7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</w:p>
        </w:tc>
      </w:tr>
      <w:tr w:rsidR="00E35E4A" w:rsidRPr="00D86A2C" w14:paraId="731240E7" w14:textId="77777777" w:rsidTr="002A0E72">
        <w:trPr>
          <w:trHeight w:val="405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4C2ACA59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MIS-ETC: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644A0D28" w:rsidR="00E35E4A" w:rsidRPr="006E0420" w:rsidRDefault="005F117C" w:rsidP="002A0E7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1365</w:t>
            </w:r>
          </w:p>
        </w:tc>
      </w:tr>
      <w:tr w:rsidR="00E35E4A" w:rsidRPr="00D86A2C" w14:paraId="02AC14DF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E50C792" w14:textId="77777777" w:rsidR="00E35E4A" w:rsidRPr="00D86A2C" w:rsidRDefault="00E35E4A" w:rsidP="00833228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PRIORITY AXIS: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0C590221" w:rsidR="00E35E4A" w:rsidRPr="006E0420" w:rsidRDefault="006B2EBB" w:rsidP="002A0E72">
            <w:pPr>
              <w:rPr>
                <w:rFonts w:ascii="Trebuchet MS" w:hAnsi="Trebuchet MS"/>
                <w:lang w:val="en-US"/>
              </w:rPr>
            </w:pPr>
            <w:r w:rsidRPr="00F733F5">
              <w:rPr>
                <w:rFonts w:ascii="Trebuchet MS" w:hAnsi="Trebuchet MS"/>
              </w:rPr>
              <w:t>3. Promoting “people to people” exchanges</w:t>
            </w:r>
          </w:p>
        </w:tc>
      </w:tr>
      <w:tr w:rsidR="00AE1596" w:rsidRPr="00D86A2C" w14:paraId="166F769C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EA950F5" w14:textId="136A8A51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MEASURE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47FFC142" w:rsidR="00AE1596" w:rsidRPr="006E0420" w:rsidRDefault="00416854" w:rsidP="002A0E7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3.1</w:t>
            </w:r>
            <w:r w:rsidR="006B2EBB" w:rsidRPr="00F733F5">
              <w:rPr>
                <w:rFonts w:ascii="Trebuchet MS" w:hAnsi="Trebuchet MS"/>
                <w:bCs/>
              </w:rPr>
              <w:t xml:space="preserve"> Support the development of civil society and local communities</w:t>
            </w:r>
          </w:p>
        </w:tc>
      </w:tr>
      <w:tr w:rsidR="00AE1596" w:rsidRPr="00D86A2C" w14:paraId="033ED898" w14:textId="77777777" w:rsidTr="002A0E72">
        <w:trPr>
          <w:trHeight w:val="418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44CA21D6" w14:textId="1C6C0C0D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PROJECT TITLE: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6F43EEA9" w:rsidR="00AE1596" w:rsidRPr="002A0E72" w:rsidRDefault="009B2EB6" w:rsidP="002A0E72">
            <w:pPr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A0E72">
              <w:rPr>
                <w:rFonts w:ascii="Trebuchet MS" w:hAnsi="Trebuchet MS" w:cs="Trebuchet MS"/>
                <w:b/>
                <w:bCs/>
                <w:color w:val="0070C0"/>
                <w:lang w:val="en-GB"/>
              </w:rPr>
              <w:t>EuroBanat</w:t>
            </w:r>
            <w:proofErr w:type="spellEnd"/>
            <w:r w:rsidRPr="002A0E72">
              <w:rPr>
                <w:rFonts w:ascii="Trebuchet MS" w:hAnsi="Trebuchet MS" w:cs="Trebuchet MS"/>
                <w:b/>
                <w:bCs/>
                <w:color w:val="0070C0"/>
                <w:lang w:val="en-GB"/>
              </w:rPr>
              <w:t xml:space="preserve"> Internet TV</w:t>
            </w:r>
          </w:p>
        </w:tc>
      </w:tr>
      <w:tr w:rsidR="00AE1596" w:rsidRPr="00D86A2C" w14:paraId="645032DC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1D0800EF" w14:textId="2F96B382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ACRONYM: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8FC4" w14:textId="391A8BEA" w:rsidR="00AE1596" w:rsidRPr="006E0420" w:rsidRDefault="009B2EB6" w:rsidP="002A0E72">
            <w:pPr>
              <w:rPr>
                <w:rFonts w:ascii="Trebuchet MS" w:hAnsi="Trebuchet MS"/>
                <w:lang w:val="en-US"/>
              </w:rPr>
            </w:pPr>
            <w:r w:rsidRPr="00FA5060">
              <w:rPr>
                <w:rFonts w:ascii="Trebuchet MS" w:hAnsi="Trebuchet MS" w:cs="Trebuchet MS"/>
                <w:lang w:val="en-GB"/>
              </w:rPr>
              <w:t>EB-ITV</w:t>
            </w:r>
          </w:p>
        </w:tc>
      </w:tr>
      <w:tr w:rsidR="00AE1596" w:rsidRPr="00D86A2C" w14:paraId="6B583244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73BC07E5" w14:textId="43715D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DURATION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1"/>
            </w:r>
            <w:r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207CDF40" w:rsidR="00AE1596" w:rsidRPr="006E0420" w:rsidRDefault="00416854" w:rsidP="002A0E72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01.05.2013 – 31.10.2014</w:t>
            </w:r>
          </w:p>
        </w:tc>
      </w:tr>
      <w:tr w:rsidR="00AE1596" w:rsidRPr="00D86A2C" w14:paraId="018D531F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  <w:hideMark/>
          </w:tcPr>
          <w:p w14:paraId="318D3F42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IPA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3F928E0C" w:rsidR="00AE1596" w:rsidRPr="00A978D2" w:rsidRDefault="00416854" w:rsidP="002A0E72">
            <w:pPr>
              <w:rPr>
                <w:rFonts w:ascii="Trebuchet MS" w:hAnsi="Trebuchet MS"/>
                <w:lang w:val="en-US"/>
              </w:rPr>
            </w:pPr>
            <w:r w:rsidRPr="00416854">
              <w:rPr>
                <w:rFonts w:ascii="Trebuchet MS" w:hAnsi="Trebuchet MS"/>
                <w:lang w:val="en-US"/>
              </w:rPr>
              <w:t>293.658,00</w:t>
            </w:r>
            <w:r w:rsidR="002A0E72">
              <w:rPr>
                <w:rFonts w:ascii="Trebuchet MS" w:hAnsi="Trebuchet MS"/>
                <w:lang w:val="en-US"/>
              </w:rPr>
              <w:t xml:space="preserve"> €</w:t>
            </w:r>
          </w:p>
        </w:tc>
      </w:tr>
      <w:tr w:rsidR="00AE1596" w:rsidRPr="00D86A2C" w14:paraId="64111BE1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140DE614" w14:textId="0906278C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TOTAL FUNDS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CONTRACTED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2BC6F8A1" w:rsidR="00AE1596" w:rsidRPr="00A978D2" w:rsidRDefault="00906811" w:rsidP="002A0E72">
            <w:pPr>
              <w:rPr>
                <w:rFonts w:ascii="Trebuchet MS" w:hAnsi="Trebuchet MS"/>
                <w:lang w:val="en-US"/>
              </w:rPr>
            </w:pPr>
            <w:r w:rsidRPr="00906811">
              <w:rPr>
                <w:rFonts w:ascii="Trebuchet MS" w:hAnsi="Trebuchet MS"/>
                <w:lang w:val="en-US"/>
              </w:rPr>
              <w:t>345.480,00</w:t>
            </w:r>
            <w:r w:rsidR="002A0E72">
              <w:rPr>
                <w:rFonts w:ascii="Trebuchet MS" w:hAnsi="Trebuchet MS"/>
                <w:lang w:val="en-US"/>
              </w:rPr>
              <w:t xml:space="preserve"> €</w:t>
            </w:r>
          </w:p>
        </w:tc>
      </w:tr>
      <w:tr w:rsidR="00AE1596" w:rsidRPr="00D86A2C" w14:paraId="74B5ED4C" w14:textId="77777777" w:rsidTr="002A0E72">
        <w:trPr>
          <w:trHeight w:val="313"/>
        </w:trPr>
        <w:tc>
          <w:tcPr>
            <w:tcW w:w="4253" w:type="dxa"/>
            <w:gridSpan w:val="2"/>
            <w:shd w:val="clear" w:color="auto" w:fill="auto"/>
            <w:noWrap/>
          </w:tcPr>
          <w:p w14:paraId="0A26F174" w14:textId="193333EA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ABSORBTION RATE (%)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2"/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0B3D13D4" w:rsidR="00AE1596" w:rsidRPr="00A978D2" w:rsidRDefault="00906811" w:rsidP="002A0E72">
            <w:pPr>
              <w:rPr>
                <w:rFonts w:ascii="Trebuchet MS" w:hAnsi="Trebuchet MS"/>
                <w:lang w:val="en-US"/>
              </w:rPr>
            </w:pPr>
            <w:r w:rsidRPr="00906811">
              <w:rPr>
                <w:rFonts w:ascii="Trebuchet MS" w:hAnsi="Trebuchet MS"/>
                <w:lang w:val="en-US"/>
              </w:rPr>
              <w:t>82,13</w:t>
            </w:r>
            <w:r w:rsidR="002A0E72">
              <w:rPr>
                <w:rFonts w:ascii="Trebuchet MS" w:hAnsi="Trebuchet MS"/>
                <w:lang w:val="en-US"/>
              </w:rPr>
              <w:t>%</w:t>
            </w:r>
          </w:p>
        </w:tc>
      </w:tr>
      <w:tr w:rsidR="00AE1596" w:rsidRPr="00D86A2C" w14:paraId="223111F3" w14:textId="77777777" w:rsidTr="002A0E72">
        <w:trPr>
          <w:gridAfter w:val="1"/>
          <w:wAfter w:w="23" w:type="dxa"/>
          <w:trHeight w:val="313"/>
        </w:trPr>
        <w:tc>
          <w:tcPr>
            <w:tcW w:w="1756" w:type="dxa"/>
            <w:shd w:val="clear" w:color="auto" w:fill="auto"/>
            <w:noWrap/>
          </w:tcPr>
          <w:p w14:paraId="4D81FB09" w14:textId="49736452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PROJECT OBJECTIVE(S):</w:t>
            </w:r>
          </w:p>
        </w:tc>
        <w:tc>
          <w:tcPr>
            <w:tcW w:w="1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4AC316" w14:textId="77777777" w:rsidR="00AE1596" w:rsidRDefault="004A249D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4A249D">
              <w:rPr>
                <w:rFonts w:ascii="Trebuchet MS" w:hAnsi="Trebuchet MS"/>
                <w:lang w:val="en-US"/>
              </w:rPr>
              <w:t>To provide innovative cross-border information services through advanced broadcasting technologies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14:paraId="0E886901" w14:textId="3017F5AF" w:rsidR="006D38B9" w:rsidRPr="00A978D2" w:rsidRDefault="004A249D" w:rsidP="00AE1596">
            <w:pPr>
              <w:jc w:val="both"/>
              <w:rPr>
                <w:rFonts w:ascii="Trebuchet MS" w:hAnsi="Trebuchet MS"/>
                <w:lang w:val="en-US"/>
              </w:rPr>
            </w:pPr>
            <w:r w:rsidRPr="004A249D">
              <w:rPr>
                <w:rFonts w:ascii="Trebuchet MS" w:hAnsi="Trebuchet MS"/>
                <w:lang w:val="en-US"/>
              </w:rPr>
              <w:t>To improve the multilingual communications, information supply and awareness in the border region through delivery of high quality media content</w:t>
            </w:r>
            <w:r>
              <w:rPr>
                <w:rFonts w:ascii="Trebuchet MS" w:hAnsi="Trebuchet MS"/>
                <w:lang w:val="en-US"/>
              </w:rPr>
              <w:t>.</w:t>
            </w:r>
          </w:p>
        </w:tc>
      </w:tr>
      <w:tr w:rsidR="00AE1596" w:rsidRPr="00D86A2C" w14:paraId="297D5E43" w14:textId="77777777" w:rsidTr="002A0E72">
        <w:trPr>
          <w:gridAfter w:val="1"/>
          <w:wAfter w:w="23" w:type="dxa"/>
          <w:trHeight w:val="313"/>
        </w:trPr>
        <w:tc>
          <w:tcPr>
            <w:tcW w:w="1756" w:type="dxa"/>
            <w:shd w:val="clear" w:color="auto" w:fill="auto"/>
            <w:noWrap/>
            <w:hideMark/>
          </w:tcPr>
          <w:p w14:paraId="39A78D76" w14:textId="0C2B0E85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SHORT DESCRIPTION OF THE PROJECT:</w:t>
            </w:r>
          </w:p>
        </w:tc>
        <w:tc>
          <w:tcPr>
            <w:tcW w:w="1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DF8E71" w14:textId="77777777" w:rsidR="002A0E72" w:rsidRDefault="00B628FC" w:rsidP="004F5024">
            <w:pPr>
              <w:jc w:val="both"/>
              <w:rPr>
                <w:rFonts w:ascii="Trebuchet MS" w:hAnsi="Trebuchet MS"/>
                <w:lang w:val="en-US"/>
              </w:rPr>
            </w:pPr>
            <w:r w:rsidRPr="00B628FC">
              <w:rPr>
                <w:rFonts w:ascii="Trebuchet MS" w:hAnsi="Trebuchet MS"/>
                <w:lang w:val="en-US"/>
              </w:rPr>
              <w:t>With this project partners managed to start</w:t>
            </w:r>
            <w:r w:rsidR="002A0E72">
              <w:rPr>
                <w:rFonts w:ascii="Trebuchet MS" w:hAnsi="Trebuchet MS"/>
                <w:lang w:val="en-US"/>
              </w:rPr>
              <w:t>-</w:t>
            </w:r>
            <w:r w:rsidRPr="00B628FC">
              <w:rPr>
                <w:rFonts w:ascii="Trebuchet MS" w:hAnsi="Trebuchet MS"/>
                <w:lang w:val="en-US"/>
              </w:rPr>
              <w:t xml:space="preserve">up a regional multilingual television station, and </w:t>
            </w:r>
            <w:r w:rsidR="002A0E72">
              <w:rPr>
                <w:rFonts w:ascii="Trebuchet MS" w:hAnsi="Trebuchet MS"/>
                <w:lang w:val="en-US"/>
              </w:rPr>
              <w:t>in</w:t>
            </w:r>
            <w:r w:rsidRPr="00B628FC">
              <w:rPr>
                <w:rFonts w:ascii="Trebuchet MS" w:hAnsi="Trebuchet MS"/>
                <w:lang w:val="en-US"/>
              </w:rPr>
              <w:t xml:space="preserve"> this way the project managed to open</w:t>
            </w:r>
            <w:r w:rsidR="002A0E72">
              <w:rPr>
                <w:rFonts w:ascii="Trebuchet MS" w:hAnsi="Trebuchet MS"/>
                <w:lang w:val="en-US"/>
              </w:rPr>
              <w:t>-</w:t>
            </w:r>
            <w:r w:rsidRPr="00B628FC">
              <w:rPr>
                <w:rFonts w:ascii="Trebuchet MS" w:hAnsi="Trebuchet MS"/>
                <w:lang w:val="en-US"/>
              </w:rPr>
              <w:t xml:space="preserve">up </w:t>
            </w:r>
            <w:r w:rsidR="002A0E72">
              <w:rPr>
                <w:rFonts w:ascii="Trebuchet MS" w:hAnsi="Trebuchet MS"/>
                <w:lang w:val="en-US"/>
              </w:rPr>
              <w:t xml:space="preserve">the </w:t>
            </w:r>
            <w:r w:rsidRPr="00B628FC">
              <w:rPr>
                <w:rFonts w:ascii="Trebuchet MS" w:hAnsi="Trebuchet MS"/>
                <w:lang w:val="en-US"/>
              </w:rPr>
              <w:t>access to quality multilingual broadcasting service in the region by creating a high</w:t>
            </w:r>
            <w:r w:rsidR="002A0E72">
              <w:rPr>
                <w:rFonts w:ascii="Trebuchet MS" w:hAnsi="Trebuchet MS"/>
                <w:lang w:val="en-US"/>
              </w:rPr>
              <w:t>-</w:t>
            </w:r>
            <w:r w:rsidRPr="00B628FC">
              <w:rPr>
                <w:rFonts w:ascii="Trebuchet MS" w:hAnsi="Trebuchet MS"/>
                <w:lang w:val="en-US"/>
              </w:rPr>
              <w:t>quality digital medium through which information could be more easily located and retrieved. In order to achieve all project result</w:t>
            </w:r>
            <w:r w:rsidR="002A0E72">
              <w:rPr>
                <w:rFonts w:ascii="Trebuchet MS" w:hAnsi="Trebuchet MS"/>
                <w:lang w:val="en-US"/>
              </w:rPr>
              <w:t>s, the</w:t>
            </w:r>
            <w:r w:rsidRPr="00B628FC">
              <w:rPr>
                <w:rFonts w:ascii="Trebuchet MS" w:hAnsi="Trebuchet MS"/>
                <w:lang w:val="en-US"/>
              </w:rPr>
              <w:t xml:space="preserve"> partners procured specific equipment’s such as: Shooting-filming set TV Media desk system, Audio system, HD Broadcasting system, </w:t>
            </w:r>
            <w:r w:rsidR="002A0E72" w:rsidRPr="00B628FC">
              <w:rPr>
                <w:rFonts w:ascii="Trebuchet MS" w:hAnsi="Trebuchet MS"/>
                <w:lang w:val="en-US"/>
              </w:rPr>
              <w:t>editing</w:t>
            </w:r>
            <w:r w:rsidRPr="00B628FC">
              <w:rPr>
                <w:rFonts w:ascii="Trebuchet MS" w:hAnsi="Trebuchet MS"/>
                <w:lang w:val="en-US"/>
              </w:rPr>
              <w:t xml:space="preserve"> system, Studio lightning system, Mobile lightning set, Cable system for television (video cables, adapters, power cables) and organized 12 Journalism and television courses. A Joint Editorial Board was created with the journalists and TV experts from Timisoara and Zrenjanin, and also media services offices in both Zrenjanin and Timisoara. </w:t>
            </w:r>
          </w:p>
          <w:p w14:paraId="6BEACB12" w14:textId="012E23C5" w:rsidR="00AE1596" w:rsidRPr="00A978D2" w:rsidRDefault="00B628FC" w:rsidP="004F5024">
            <w:pPr>
              <w:jc w:val="both"/>
              <w:rPr>
                <w:rFonts w:ascii="Trebuchet MS" w:hAnsi="Trebuchet MS"/>
                <w:lang w:val="en-US"/>
              </w:rPr>
            </w:pPr>
            <w:r w:rsidRPr="00B628FC">
              <w:rPr>
                <w:rFonts w:ascii="Trebuchet MS" w:hAnsi="Trebuchet MS"/>
                <w:lang w:val="en-US"/>
              </w:rPr>
              <w:lastRenderedPageBreak/>
              <w:t>The Production of TV programme is covering the following subjects: Regional/Cross-border cooperation, Culture</w:t>
            </w:r>
            <w:r w:rsidR="002A0E72">
              <w:rPr>
                <w:rFonts w:ascii="Trebuchet MS" w:hAnsi="Trebuchet MS"/>
                <w:lang w:val="en-US"/>
              </w:rPr>
              <w:t xml:space="preserve"> </w:t>
            </w:r>
            <w:r w:rsidRPr="00B628FC">
              <w:rPr>
                <w:rFonts w:ascii="Trebuchet MS" w:hAnsi="Trebuchet MS"/>
                <w:lang w:val="en-US"/>
              </w:rPr>
              <w:t>&amp;</w:t>
            </w:r>
            <w:r w:rsidR="002A0E72">
              <w:rPr>
                <w:rFonts w:ascii="Trebuchet MS" w:hAnsi="Trebuchet MS"/>
                <w:lang w:val="en-US"/>
              </w:rPr>
              <w:t xml:space="preserve"> </w:t>
            </w:r>
            <w:r w:rsidRPr="00B628FC">
              <w:rPr>
                <w:rFonts w:ascii="Trebuchet MS" w:hAnsi="Trebuchet MS"/>
                <w:lang w:val="en-US"/>
              </w:rPr>
              <w:t>Art</w:t>
            </w:r>
            <w:r w:rsidR="002A0E72">
              <w:rPr>
                <w:rFonts w:ascii="Trebuchet MS" w:hAnsi="Trebuchet MS"/>
                <w:lang w:val="en-US"/>
              </w:rPr>
              <w:t>s</w:t>
            </w:r>
            <w:r w:rsidRPr="00B628FC">
              <w:rPr>
                <w:rFonts w:ascii="Trebuchet MS" w:hAnsi="Trebuchet MS"/>
                <w:lang w:val="en-US"/>
              </w:rPr>
              <w:t>, Education</w:t>
            </w:r>
            <w:r w:rsidR="002A0E72">
              <w:rPr>
                <w:rFonts w:ascii="Trebuchet MS" w:hAnsi="Trebuchet MS"/>
                <w:lang w:val="en-US"/>
              </w:rPr>
              <w:t xml:space="preserve"> &amp; </w:t>
            </w:r>
            <w:r w:rsidRPr="00B628FC">
              <w:rPr>
                <w:rFonts w:ascii="Trebuchet MS" w:hAnsi="Trebuchet MS"/>
                <w:lang w:val="en-US"/>
              </w:rPr>
              <w:t>News and information</w:t>
            </w:r>
            <w:r>
              <w:rPr>
                <w:rFonts w:ascii="Trebuchet MS" w:hAnsi="Trebuchet MS"/>
                <w:lang w:val="en-US"/>
              </w:rPr>
              <w:t>.</w:t>
            </w:r>
          </w:p>
        </w:tc>
      </w:tr>
    </w:tbl>
    <w:p w14:paraId="0DA92450" w14:textId="77777777" w:rsidR="002A0E72" w:rsidRDefault="002A0E72"/>
    <w:tbl>
      <w:tblPr>
        <w:tblW w:w="14472" w:type="dxa"/>
        <w:tblInd w:w="709" w:type="dxa"/>
        <w:tblLook w:val="04A0" w:firstRow="1" w:lastRow="0" w:firstColumn="1" w:lastColumn="0" w:noHBand="0" w:noVBand="1"/>
      </w:tblPr>
      <w:tblGrid>
        <w:gridCol w:w="1756"/>
        <w:gridCol w:w="12716"/>
      </w:tblGrid>
      <w:tr w:rsidR="00AE1596" w:rsidRPr="00D86A2C" w14:paraId="62DBD97B" w14:textId="77777777" w:rsidTr="002A0E72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995F965" w14:textId="267656B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>
              <w:rPr>
                <w:rFonts w:ascii="Trebuchet MS" w:hAnsi="Trebuchet MS"/>
                <w:color w:val="5B9BD5"/>
                <w:lang w:val="en-US"/>
              </w:rPr>
              <w:t>DEGREE OF ACHIEVEMENT OF INDICATORS</w:t>
            </w:r>
            <w:r>
              <w:rPr>
                <w:rStyle w:val="FootnoteReference"/>
                <w:rFonts w:ascii="Trebuchet MS" w:hAnsi="Trebuchet MS"/>
                <w:color w:val="5B9BD5"/>
                <w:lang w:val="en-US"/>
              </w:rPr>
              <w:footnoteReference w:id="3"/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: </w:t>
            </w:r>
          </w:p>
        </w:tc>
        <w:tc>
          <w:tcPr>
            <w:tcW w:w="12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2470" w:type="dxa"/>
              <w:tblLook w:val="0000" w:firstRow="0" w:lastRow="0" w:firstColumn="0" w:lastColumn="0" w:noHBand="0" w:noVBand="0"/>
            </w:tblPr>
            <w:tblGrid>
              <w:gridCol w:w="3028"/>
              <w:gridCol w:w="2877"/>
              <w:gridCol w:w="1026"/>
              <w:gridCol w:w="2948"/>
              <w:gridCol w:w="1321"/>
              <w:gridCol w:w="1270"/>
            </w:tblGrid>
            <w:tr w:rsidR="002A0E72" w:rsidRPr="002A0E72" w14:paraId="35F6C14D" w14:textId="77777777" w:rsidTr="002A0E72">
              <w:tc>
                <w:tcPr>
                  <w:tcW w:w="30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1E618E0F" w14:textId="0AC0227E" w:rsidR="008F65A8" w:rsidRPr="002A0E72" w:rsidRDefault="008F65A8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Indicator</w:t>
                  </w:r>
                </w:p>
              </w:tc>
              <w:tc>
                <w:tcPr>
                  <w:tcW w:w="390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79B6A0BE" w14:textId="68E218AA" w:rsidR="008F65A8" w:rsidRPr="002A0E72" w:rsidRDefault="008F65A8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426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6283DBB7" w14:textId="44D92C44" w:rsidR="008F65A8" w:rsidRPr="002A0E72" w:rsidRDefault="008F65A8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2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</w:tcPr>
                <w:p w14:paraId="059EBE4A" w14:textId="15E1F556" w:rsidR="008F65A8" w:rsidRPr="002A0E72" w:rsidRDefault="008F65A8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%</w:t>
                  </w:r>
                  <w:r w:rsidR="002A0E72"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6= (5)/(3)*100</w:t>
                  </w:r>
                </w:p>
              </w:tc>
            </w:tr>
            <w:tr w:rsidR="002A0E72" w:rsidRPr="002A0E72" w14:paraId="62367A81" w14:textId="77777777" w:rsidTr="002A0E72">
              <w:tc>
                <w:tcPr>
                  <w:tcW w:w="30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56626516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Output indicators</w:t>
                  </w:r>
                </w:p>
                <w:p w14:paraId="17CCED16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2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2BB034A4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 xml:space="preserve">UM      </w:t>
                  </w:r>
                </w:p>
                <w:p w14:paraId="21E054A4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(2)</w:t>
                  </w:r>
                </w:p>
              </w:tc>
              <w:tc>
                <w:tcPr>
                  <w:tcW w:w="10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361BE1FC" w14:textId="77777777" w:rsidR="008F65A8" w:rsidRPr="002A0E72" w:rsidRDefault="008F65A8" w:rsidP="008F65A8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Quantity</w:t>
                  </w:r>
                </w:p>
                <w:p w14:paraId="66B9422F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(3)</w:t>
                  </w:r>
                </w:p>
              </w:tc>
              <w:tc>
                <w:tcPr>
                  <w:tcW w:w="29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6C2CE368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 xml:space="preserve">UM      </w:t>
                  </w:r>
                </w:p>
                <w:p w14:paraId="111D00EC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(4)</w:t>
                  </w:r>
                </w:p>
              </w:tc>
              <w:tc>
                <w:tcPr>
                  <w:tcW w:w="13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</w:tcPr>
                <w:p w14:paraId="20B92631" w14:textId="77777777" w:rsidR="008F65A8" w:rsidRPr="002A0E72" w:rsidRDefault="008F65A8" w:rsidP="008F65A8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Quantity</w:t>
                  </w:r>
                </w:p>
                <w:p w14:paraId="79FAF213" w14:textId="77777777" w:rsidR="008F65A8" w:rsidRPr="002A0E72" w:rsidRDefault="008F65A8" w:rsidP="008F65A8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 xml:space="preserve"> (5)</w:t>
                  </w:r>
                </w:p>
              </w:tc>
              <w:tc>
                <w:tcPr>
                  <w:tcW w:w="12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</w:tcPr>
                <w:p w14:paraId="2B25BFA9" w14:textId="77777777" w:rsidR="008F65A8" w:rsidRPr="002A0E72" w:rsidRDefault="008F65A8" w:rsidP="008F65A8">
                  <w:pPr>
                    <w:snapToGrid w:val="0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A0E72" w:rsidRPr="002A0E72" w14:paraId="712AA2A0" w14:textId="77777777" w:rsidTr="002A0E72">
              <w:tc>
                <w:tcPr>
                  <w:tcW w:w="30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5F0684F9" w14:textId="67D7FEAB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GB"/>
                    </w:rPr>
                    <w:t>Development of new information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2A0E72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GB"/>
                    </w:rPr>
                    <w:t>/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2A0E72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GB"/>
                    </w:rPr>
                    <w:t>communication network – Euro Banat Internet TV</w:t>
                  </w:r>
                </w:p>
              </w:tc>
              <w:tc>
                <w:tcPr>
                  <w:tcW w:w="2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82823B2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regional multilingual internet television</w:t>
                  </w:r>
                </w:p>
              </w:tc>
              <w:tc>
                <w:tcPr>
                  <w:tcW w:w="10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6EE11F8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9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06343AAD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regional multilingual internet television</w:t>
                  </w:r>
                </w:p>
              </w:tc>
              <w:tc>
                <w:tcPr>
                  <w:tcW w:w="13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CBBC1B0" w14:textId="423F8DBC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A02314F" w14:textId="6451C295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09DFAF93" w14:textId="77777777" w:rsidTr="002A0E72">
              <w:tc>
                <w:tcPr>
                  <w:tcW w:w="3028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</w:tcPr>
                <w:p w14:paraId="0BADC8CB" w14:textId="77777777" w:rsidR="002A0E72" w:rsidRPr="002A0E72" w:rsidRDefault="002A0E72" w:rsidP="008F65A8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4FCC02E" w14:textId="21365D00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new media services offices formed</w:t>
                  </w:r>
                </w:p>
              </w:tc>
              <w:tc>
                <w:tcPr>
                  <w:tcW w:w="10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0F65738A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9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20E2BE8" w14:textId="77750383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new media services offices formed</w:t>
                  </w:r>
                </w:p>
              </w:tc>
              <w:tc>
                <w:tcPr>
                  <w:tcW w:w="13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4B734A8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36BCE8B" w14:textId="7A6AECAC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108D7FEF" w14:textId="77777777" w:rsidTr="002A0E72">
              <w:tc>
                <w:tcPr>
                  <w:tcW w:w="3028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</w:tcPr>
                <w:p w14:paraId="655F3E4B" w14:textId="77777777" w:rsidR="002A0E72" w:rsidRPr="002A0E72" w:rsidRDefault="002A0E72" w:rsidP="008F65A8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1E59D50" w14:textId="6ACB844F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Number of average multilingual broadcast hours per month </w:t>
                  </w:r>
                </w:p>
              </w:tc>
              <w:tc>
                <w:tcPr>
                  <w:tcW w:w="10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0D0C647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91.5</w:t>
                  </w:r>
                </w:p>
              </w:tc>
              <w:tc>
                <w:tcPr>
                  <w:tcW w:w="29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4535ED1" w14:textId="3813802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Number of average multilingual broadcast hours per month </w:t>
                  </w:r>
                </w:p>
              </w:tc>
              <w:tc>
                <w:tcPr>
                  <w:tcW w:w="13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D696DA4" w14:textId="5FEB57CF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120</w:t>
                  </w:r>
                </w:p>
              </w:tc>
              <w:tc>
                <w:tcPr>
                  <w:tcW w:w="12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2715317" w14:textId="25ADD5A6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131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4F7FE36F" w14:textId="77777777" w:rsidTr="002A0E72">
              <w:tc>
                <w:tcPr>
                  <w:tcW w:w="3028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</w:tcPr>
                <w:p w14:paraId="1F71C0DA" w14:textId="77777777" w:rsidR="002A0E72" w:rsidRPr="002A0E72" w:rsidRDefault="002A0E72" w:rsidP="008F65A8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6A003A8B" w14:textId="36DF0CC5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expert publications regarding media standards and policies</w:t>
                  </w:r>
                </w:p>
              </w:tc>
              <w:tc>
                <w:tcPr>
                  <w:tcW w:w="10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5D2CE0D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9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3377D40" w14:textId="23866EBD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expert publications regarding media standards and policies</w:t>
                  </w:r>
                </w:p>
              </w:tc>
              <w:tc>
                <w:tcPr>
                  <w:tcW w:w="13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2CCC064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3FD8263" w14:textId="18E9F8E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516082D7" w14:textId="77777777" w:rsidTr="002A0E72">
              <w:tc>
                <w:tcPr>
                  <w:tcW w:w="3028" w:type="dxa"/>
                  <w:vMerge/>
                  <w:tcBorders>
                    <w:left w:val="single" w:sz="12" w:space="0" w:color="000000"/>
                  </w:tcBorders>
                  <w:shd w:val="clear" w:color="auto" w:fill="auto"/>
                </w:tcPr>
                <w:p w14:paraId="7845007F" w14:textId="77777777" w:rsidR="002A0E72" w:rsidRPr="002A0E72" w:rsidRDefault="002A0E72" w:rsidP="008F65A8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77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0A310CEA" w14:textId="77777777" w:rsidR="002A0E72" w:rsidRPr="002A0E72" w:rsidRDefault="002A0E72" w:rsidP="002A0E72">
                  <w:pP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Number of trainings in journalism and television</w:t>
                  </w:r>
                </w:p>
              </w:tc>
              <w:tc>
                <w:tcPr>
                  <w:tcW w:w="10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6C91B64" w14:textId="77777777" w:rsidR="002A0E72" w:rsidRPr="002A0E72" w:rsidRDefault="002A0E72" w:rsidP="002A0E72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294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C2C8F83" w14:textId="77777777" w:rsidR="002A0E72" w:rsidRPr="002A0E72" w:rsidRDefault="002A0E72" w:rsidP="002A0E72">
                  <w:pP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Number of trainings in journalism and television</w:t>
                  </w:r>
                </w:p>
              </w:tc>
              <w:tc>
                <w:tcPr>
                  <w:tcW w:w="1321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48A79AC" w14:textId="4E99045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127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F6A703C" w14:textId="2EF17804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7FEC3737" w14:textId="77777777" w:rsidTr="002A0E72">
              <w:tc>
                <w:tcPr>
                  <w:tcW w:w="3028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7E885229" w14:textId="77777777" w:rsidR="002A0E72" w:rsidRPr="002A0E72" w:rsidRDefault="002A0E72" w:rsidP="008F65A8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77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EC4E9DA" w14:textId="77777777" w:rsidR="002A0E72" w:rsidRPr="002A0E72" w:rsidRDefault="002A0E72" w:rsidP="002A0E72">
                  <w:pP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Number of people trained</w:t>
                  </w:r>
                </w:p>
              </w:tc>
              <w:tc>
                <w:tcPr>
                  <w:tcW w:w="10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34C2CE1" w14:textId="77777777" w:rsidR="002A0E72" w:rsidRPr="002A0E72" w:rsidRDefault="002A0E72" w:rsidP="002A0E72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40</w:t>
                  </w:r>
                </w:p>
              </w:tc>
              <w:tc>
                <w:tcPr>
                  <w:tcW w:w="294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C62A807" w14:textId="77777777" w:rsidR="002A0E72" w:rsidRPr="002A0E72" w:rsidRDefault="002A0E72" w:rsidP="002A0E72">
                  <w:pP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Number of people trained</w:t>
                  </w:r>
                </w:p>
              </w:tc>
              <w:tc>
                <w:tcPr>
                  <w:tcW w:w="1321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FD4EAC8" w14:textId="31D08159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40</w:t>
                  </w:r>
                </w:p>
              </w:tc>
              <w:tc>
                <w:tcPr>
                  <w:tcW w:w="127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63FFD7C" w14:textId="76529F22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Cs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Cs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42EE5D9C" w14:textId="77777777" w:rsidTr="002A0E72">
              <w:tc>
                <w:tcPr>
                  <w:tcW w:w="3028" w:type="dxa"/>
                  <w:vMerge w:val="restart"/>
                  <w:tcBorders>
                    <w:left w:val="single" w:sz="12" w:space="0" w:color="000000"/>
                  </w:tcBorders>
                  <w:shd w:val="clear" w:color="auto" w:fill="auto"/>
                  <w:vAlign w:val="center"/>
                </w:tcPr>
                <w:p w14:paraId="240F2986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en-GB"/>
                    </w:rPr>
                    <w:t>Promotion of new on-line media service in the Romania-Serbia cross-border region</w:t>
                  </w:r>
                </w:p>
              </w:tc>
              <w:tc>
                <w:tcPr>
                  <w:tcW w:w="2877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4B8CCEC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sets of promotional materials</w:t>
                  </w:r>
                </w:p>
              </w:tc>
              <w:tc>
                <w:tcPr>
                  <w:tcW w:w="10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09A725E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94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0226B12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sets of promotional materials</w:t>
                  </w:r>
                </w:p>
              </w:tc>
              <w:tc>
                <w:tcPr>
                  <w:tcW w:w="1321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372732B" w14:textId="08AA281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8B92C8A" w14:textId="4CB80DF1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  <w:tr w:rsidR="002A0E72" w:rsidRPr="002A0E72" w14:paraId="3060FF34" w14:textId="77777777" w:rsidTr="002A0E72">
              <w:tc>
                <w:tcPr>
                  <w:tcW w:w="3028" w:type="dxa"/>
                  <w:vMerge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4D89FB58" w14:textId="77777777" w:rsidR="002A0E72" w:rsidRPr="002A0E72" w:rsidRDefault="002A0E72" w:rsidP="008F65A8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77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17C385C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publicizing actions</w:t>
                  </w:r>
                </w:p>
              </w:tc>
              <w:tc>
                <w:tcPr>
                  <w:tcW w:w="10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58AEFA5" w14:textId="7777777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294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E187F0F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publicizing actions</w:t>
                  </w:r>
                </w:p>
              </w:tc>
              <w:tc>
                <w:tcPr>
                  <w:tcW w:w="1321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CCF2E6E" w14:textId="5A41EB7D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334EC7B" w14:textId="1F4A1D4C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%</w:t>
                  </w:r>
                </w:p>
              </w:tc>
            </w:tr>
          </w:tbl>
          <w:p w14:paraId="6F166A4F" w14:textId="1E91662E" w:rsidR="002A0E72" w:rsidRDefault="002A0E72"/>
          <w:p w14:paraId="4B09BA6B" w14:textId="4F416E31" w:rsidR="002A0E72" w:rsidRDefault="002A0E72"/>
          <w:p w14:paraId="1C2D270B" w14:textId="621EF9C8" w:rsidR="002A0E72" w:rsidRDefault="002A0E72"/>
          <w:p w14:paraId="596156DB" w14:textId="064DF5C4" w:rsidR="002A0E72" w:rsidRDefault="002A0E72"/>
          <w:p w14:paraId="77DA0A62" w14:textId="77777777" w:rsidR="002A0E72" w:rsidRDefault="002A0E72"/>
          <w:p w14:paraId="20B57184" w14:textId="77777777" w:rsidR="002A0E72" w:rsidRDefault="002A0E72"/>
          <w:tbl>
            <w:tblPr>
              <w:tblW w:w="12289" w:type="dxa"/>
              <w:tblLook w:val="0000" w:firstRow="0" w:lastRow="0" w:firstColumn="0" w:lastColumn="0" w:noHBand="0" w:noVBand="0"/>
            </w:tblPr>
            <w:tblGrid>
              <w:gridCol w:w="2792"/>
              <w:gridCol w:w="2268"/>
              <w:gridCol w:w="2126"/>
              <w:gridCol w:w="2123"/>
              <w:gridCol w:w="2130"/>
              <w:gridCol w:w="850"/>
            </w:tblGrid>
            <w:tr w:rsidR="002A0E72" w:rsidRPr="00521F1F" w14:paraId="29F1F102" w14:textId="77777777" w:rsidTr="002A0E72">
              <w:tc>
                <w:tcPr>
                  <w:tcW w:w="2792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142B4389" w14:textId="77777777" w:rsidR="002A0E72" w:rsidRPr="00521F1F" w:rsidRDefault="002A0E72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r w:rsidRPr="00521F1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Result indicators</w:t>
                  </w:r>
                </w:p>
              </w:tc>
              <w:tc>
                <w:tcPr>
                  <w:tcW w:w="226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243E283E" w14:textId="743A3F60" w:rsidR="002A0E72" w:rsidRPr="002A0E72" w:rsidRDefault="002A0E72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UM</w:t>
                  </w:r>
                </w:p>
                <w:p w14:paraId="5ACAA9D9" w14:textId="7F9A8B64" w:rsidR="002A0E72" w:rsidRPr="00521F1F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(2)</w:t>
                  </w:r>
                </w:p>
              </w:tc>
              <w:tc>
                <w:tcPr>
                  <w:tcW w:w="21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6E2765C" w14:textId="77777777" w:rsidR="002A0E72" w:rsidRPr="002A0E72" w:rsidRDefault="002A0E72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Quantity</w:t>
                  </w:r>
                </w:p>
                <w:p w14:paraId="2BE2C3D3" w14:textId="18E38B27" w:rsidR="002A0E72" w:rsidRPr="00521F1F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(3)</w:t>
                  </w:r>
                </w:p>
              </w:tc>
              <w:tc>
                <w:tcPr>
                  <w:tcW w:w="2123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C5E27F0" w14:textId="799E421A" w:rsidR="002A0E72" w:rsidRPr="002A0E72" w:rsidRDefault="002A0E72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UM</w:t>
                  </w:r>
                </w:p>
                <w:p w14:paraId="357F2EE6" w14:textId="732F1B0B" w:rsidR="002A0E72" w:rsidRPr="00521F1F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(4)</w:t>
                  </w:r>
                </w:p>
              </w:tc>
              <w:tc>
                <w:tcPr>
                  <w:tcW w:w="2130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12D74BF" w14:textId="77777777" w:rsidR="002A0E72" w:rsidRPr="002A0E72" w:rsidRDefault="002A0E72" w:rsidP="002A0E72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Quantity</w:t>
                  </w:r>
                </w:p>
                <w:p w14:paraId="6B36FEB3" w14:textId="475AE5F1" w:rsidR="002A0E72" w:rsidRPr="00521F1F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(5)</w:t>
                  </w:r>
                </w:p>
              </w:tc>
              <w:tc>
                <w:tcPr>
                  <w:tcW w:w="85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37D60E5E" w14:textId="1C759D85" w:rsidR="002A0E72" w:rsidRPr="00521F1F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2A0E72" w:rsidRPr="00521F1F" w14:paraId="4D06B693" w14:textId="77777777" w:rsidTr="002A0E72">
              <w:tc>
                <w:tcPr>
                  <w:tcW w:w="2792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1B7B0CB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Improved quality of life and increased attractiveness of the border communities as a living place</w:t>
                  </w:r>
                </w:p>
              </w:tc>
              <w:tc>
                <w:tcPr>
                  <w:tcW w:w="226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F063822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Number of activities, actions, initiatives developing new or improving existing educational and social services, or improving other local living conditions </w:t>
                  </w:r>
                </w:p>
              </w:tc>
              <w:tc>
                <w:tcPr>
                  <w:tcW w:w="21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6CA448C4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- 1 new multilingual information and news service</w:t>
                  </w:r>
                </w:p>
                <w:p w14:paraId="75886DED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  <w:p w14:paraId="0DEE1E81" w14:textId="1FD2D3C8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- 1 new internet-based TV programme related to the regional culture, cooperation, art, education </w:t>
                  </w:r>
                </w:p>
              </w:tc>
              <w:tc>
                <w:tcPr>
                  <w:tcW w:w="2123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0314E2A7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Number of activities, actions, initiatives developing new or improving existing educational and social services, or improving other local living conditions </w:t>
                  </w:r>
                </w:p>
              </w:tc>
              <w:tc>
                <w:tcPr>
                  <w:tcW w:w="2130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347E574" w14:textId="65C5266D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- 1 new multilingual information and news service</w:t>
                  </w:r>
                </w:p>
                <w:p w14:paraId="083A633F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  <w:p w14:paraId="42FE12AC" w14:textId="2B0DECFD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- 1 new internet-based TV programme related to the regional culture, cooperation, art, education </w:t>
                  </w:r>
                </w:p>
              </w:tc>
              <w:tc>
                <w:tcPr>
                  <w:tcW w:w="85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81F1F76" w14:textId="6728C637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100%</w:t>
                  </w:r>
                </w:p>
              </w:tc>
            </w:tr>
            <w:tr w:rsidR="002A0E72" w:rsidRPr="00521F1F" w14:paraId="1CD59718" w14:textId="77777777" w:rsidTr="002A0E72">
              <w:tc>
                <w:tcPr>
                  <w:tcW w:w="2792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59714E6" w14:textId="7A456713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b/>
                      <w:sz w:val="20"/>
                      <w:szCs w:val="20"/>
                      <w:lang w:val="en-GB"/>
                    </w:rPr>
                    <w:t>Improved knowledge of culture, history, society, organisational and institutional structure, and language of the neighbouring country</w:t>
                  </w:r>
                </w:p>
              </w:tc>
              <w:tc>
                <w:tcPr>
                  <w:tcW w:w="2268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600979D2" w14:textId="62439E1A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  participants gained new knowledge in events promoting/ profiling the</w:t>
                  </w:r>
                </w:p>
                <w:p w14:paraId="669344F4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neighbouring country</w:t>
                  </w:r>
                </w:p>
                <w:p w14:paraId="3AC93269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539FC3F4" w14:textId="12DBFB9D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- 40 young people   trained in   journalism and television</w:t>
                  </w:r>
                </w:p>
                <w:p w14:paraId="332D515E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 courses</w:t>
                  </w:r>
                </w:p>
                <w:p w14:paraId="6C9741F0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  <w:p w14:paraId="01C97646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 - audience,</w:t>
                  </w:r>
                </w:p>
                <w:p w14:paraId="28CB0611" w14:textId="6204CA86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citizens of Banat region, over 500.000 people with access to</w:t>
                  </w:r>
                </w:p>
                <w:p w14:paraId="0FB47B38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Internet</w:t>
                  </w:r>
                </w:p>
              </w:tc>
              <w:tc>
                <w:tcPr>
                  <w:tcW w:w="2123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9E7D0F0" w14:textId="03145573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Number of   participants gained new knowledge in events promoting/ profiling the</w:t>
                  </w:r>
                </w:p>
                <w:p w14:paraId="6D474680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neighbouring country</w:t>
                  </w:r>
                </w:p>
                <w:p w14:paraId="626888FF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30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474E6F0" w14:textId="63A38806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- 40 young people   trained in   journalism and television</w:t>
                  </w:r>
                </w:p>
                <w:p w14:paraId="53CC6851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 courses</w:t>
                  </w:r>
                </w:p>
                <w:p w14:paraId="63CAD12D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</w:p>
                <w:p w14:paraId="76C79ECF" w14:textId="77777777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 xml:space="preserve"> - audience,</w:t>
                  </w:r>
                </w:p>
                <w:p w14:paraId="632467E1" w14:textId="3E64A815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citizens of Banat region, over 500.000 people with access to</w:t>
                  </w:r>
                </w:p>
                <w:p w14:paraId="100B67AF" w14:textId="06B2062C" w:rsidR="002A0E72" w:rsidRPr="002A0E72" w:rsidRDefault="002A0E72" w:rsidP="002A0E72">
                  <w:pPr>
                    <w:snapToGrid w:val="0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Internet</w:t>
                  </w:r>
                </w:p>
              </w:tc>
              <w:tc>
                <w:tcPr>
                  <w:tcW w:w="850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0955B20" w14:textId="22491016" w:rsidR="002A0E72" w:rsidRPr="002A0E72" w:rsidRDefault="002A0E72" w:rsidP="002A0E72">
                  <w:pPr>
                    <w:snapToGrid w:val="0"/>
                    <w:jc w:val="center"/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</w:pPr>
                  <w:r w:rsidRPr="002A0E72">
                    <w:rPr>
                      <w:rFonts w:ascii="Trebuchet MS" w:hAnsi="Trebuchet MS"/>
                      <w:sz w:val="20"/>
                      <w:szCs w:val="20"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AE1596" w:rsidRDefault="00AE1596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36910359" w14:textId="77777777" w:rsidR="002A0E72" w:rsidRDefault="002A0E72"/>
    <w:tbl>
      <w:tblPr>
        <w:tblW w:w="14472" w:type="dxa"/>
        <w:tblInd w:w="709" w:type="dxa"/>
        <w:tblLook w:val="04A0" w:firstRow="1" w:lastRow="0" w:firstColumn="1" w:lastColumn="0" w:noHBand="0" w:noVBand="1"/>
      </w:tblPr>
      <w:tblGrid>
        <w:gridCol w:w="1756"/>
        <w:gridCol w:w="12716"/>
      </w:tblGrid>
      <w:tr w:rsidR="00AE1596" w:rsidRPr="00D86A2C" w14:paraId="037D444B" w14:textId="77777777" w:rsidTr="004B3706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27333115" w14:textId="521CAE15" w:rsidR="00AE1596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RESULTS</w:t>
            </w:r>
            <w:r>
              <w:rPr>
                <w:rFonts w:ascii="Trebuchet MS" w:hAnsi="Trebuchet MS"/>
                <w:color w:val="5B9BD5"/>
                <w:lang w:val="en-US"/>
              </w:rPr>
              <w:t xml:space="preserve"> ACHIEVED, INCLUDING PHOTOS: </w:t>
            </w:r>
          </w:p>
        </w:tc>
        <w:tc>
          <w:tcPr>
            <w:tcW w:w="12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FBAFF" w14:textId="12B2484D" w:rsidR="00AE1596" w:rsidRDefault="000E0693" w:rsidP="004B3706">
            <w:pPr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First multilingual Romanian-Serbian Internet Television established and broadcast started</w:t>
            </w:r>
            <w:r w:rsidR="008B4B90">
              <w:rPr>
                <w:rFonts w:ascii="Trebuchet MS" w:hAnsi="Trebuchet MS" w:cs="Trebuchet MS"/>
                <w:lang w:val="en-GB"/>
              </w:rPr>
              <w:t>;</w:t>
            </w:r>
          </w:p>
          <w:p w14:paraId="2681399C" w14:textId="5C8C649F" w:rsidR="000E0693" w:rsidRDefault="000E0693" w:rsidP="004B3706">
            <w:pPr>
              <w:snapToGrid w:val="0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Journalism and television courses organized</w:t>
            </w:r>
            <w:r w:rsidR="008B4B90">
              <w:rPr>
                <w:rFonts w:ascii="Trebuchet MS" w:hAnsi="Trebuchet MS" w:cs="Trebuchet MS"/>
                <w:lang w:val="en-GB"/>
              </w:rPr>
              <w:t>;</w:t>
            </w:r>
          </w:p>
          <w:p w14:paraId="6C869E8C" w14:textId="31AE9C9E" w:rsidR="000E0693" w:rsidRPr="00A978D2" w:rsidRDefault="000E0693" w:rsidP="004B3706">
            <w:pPr>
              <w:snapToGrid w:val="0"/>
              <w:rPr>
                <w:rFonts w:ascii="Trebuchet MS" w:hAnsi="Trebuchet MS"/>
                <w:lang w:val="en-US"/>
              </w:rPr>
            </w:pPr>
            <w:bookmarkStart w:id="0" w:name="__DdeLink__3730_1527425944"/>
            <w:r>
              <w:rPr>
                <w:rFonts w:ascii="Trebuchet MS" w:hAnsi="Trebuchet MS" w:cs="Trebuchet MS"/>
                <w:lang w:val="en-GB"/>
              </w:rPr>
              <w:t>Euro</w:t>
            </w:r>
            <w:r w:rsidR="008B4B90">
              <w:rPr>
                <w:rFonts w:ascii="Trebuchet MS" w:hAnsi="Trebuchet MS" w:cs="Trebuchet MS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lang w:val="en-GB"/>
              </w:rPr>
              <w:t>Banat Internet TV guidelines</w:t>
            </w:r>
            <w:bookmarkEnd w:id="0"/>
            <w:r>
              <w:rPr>
                <w:rFonts w:ascii="Trebuchet MS" w:hAnsi="Trebuchet MS" w:cs="Trebuchet MS"/>
                <w:lang w:val="en-GB"/>
              </w:rPr>
              <w:t xml:space="preserve"> prepared and published</w:t>
            </w:r>
            <w:r w:rsidR="008B4B90">
              <w:rPr>
                <w:rFonts w:ascii="Trebuchet MS" w:hAnsi="Trebuchet MS" w:cs="Trebuchet MS"/>
                <w:lang w:val="en-GB"/>
              </w:rPr>
              <w:t>.</w:t>
            </w:r>
          </w:p>
        </w:tc>
      </w:tr>
      <w:tr w:rsidR="00AE1596" w:rsidRPr="00D86A2C" w14:paraId="572895D5" w14:textId="77777777" w:rsidTr="002A0E72">
        <w:trPr>
          <w:trHeight w:val="313"/>
        </w:trPr>
        <w:tc>
          <w:tcPr>
            <w:tcW w:w="1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D86A2C" w:rsidRDefault="00AE1596" w:rsidP="00AE1596">
            <w:pPr>
              <w:rPr>
                <w:rFonts w:ascii="Trebuchet MS" w:hAnsi="Trebuchet MS"/>
                <w:color w:val="5B9BD5"/>
                <w:lang w:val="en-US"/>
              </w:rPr>
            </w:pPr>
          </w:p>
        </w:tc>
        <w:tc>
          <w:tcPr>
            <w:tcW w:w="1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D86A2C" w:rsidRDefault="00AE1596" w:rsidP="00AE1596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14:paraId="4B08FECB" w14:textId="77777777" w:rsidR="00812D54" w:rsidRDefault="00812D54"/>
    <w:p w14:paraId="33239999" w14:textId="77777777" w:rsidR="00812D54" w:rsidRDefault="00812D54"/>
    <w:p w14:paraId="77C852FA" w14:textId="77777777" w:rsidR="00812D54" w:rsidRDefault="00812D54"/>
    <w:tbl>
      <w:tblPr>
        <w:tblW w:w="14588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E35E4A" w:rsidRPr="00D86A2C" w14:paraId="52BFF029" w14:textId="77777777" w:rsidTr="00AA154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D86A2C" w:rsidRDefault="00E35E4A" w:rsidP="00051612">
            <w:pPr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b/>
                <w:lang w:val="en-US"/>
              </w:rPr>
              <w:t>Partnership information</w:t>
            </w:r>
          </w:p>
        </w:tc>
        <w:tc>
          <w:tcPr>
            <w:tcW w:w="12437" w:type="dxa"/>
            <w:gridSpan w:val="5"/>
            <w:noWrap/>
          </w:tcPr>
          <w:p w14:paraId="184CBB73" w14:textId="77777777" w:rsidR="00E35E4A" w:rsidRPr="00D86A2C" w:rsidRDefault="00E35E4A" w:rsidP="00051612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E35E4A" w:rsidRPr="00D86A2C" w14:paraId="159E6694" w14:textId="77777777" w:rsidTr="00AA154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BUDGET</w:t>
            </w:r>
            <w:r>
              <w:rPr>
                <w:rFonts w:ascii="Trebuchet MS" w:hAnsi="Trebuchet MS"/>
                <w:color w:val="5B9BD5"/>
                <w:lang w:val="en-US"/>
              </w:rPr>
              <w:t>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D86A2C" w:rsidRDefault="00E35E4A" w:rsidP="00833228">
            <w:pPr>
              <w:jc w:val="both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CONTACT DETAILS</w:t>
            </w:r>
          </w:p>
        </w:tc>
      </w:tr>
      <w:tr w:rsidR="00E35E4A" w:rsidRPr="00D86A2C" w14:paraId="682A07C3" w14:textId="77777777" w:rsidTr="004B3706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D86A2C" w:rsidRDefault="00E35E4A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59F1A99A" w:rsidR="00E35E4A" w:rsidRPr="00833228" w:rsidRDefault="003B249F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FA5060">
              <w:rPr>
                <w:rFonts w:ascii="Trebuchet MS" w:hAnsi="Trebuchet MS" w:cs="Trebuchet MS"/>
                <w:lang w:val="en-GB"/>
              </w:rPr>
              <w:t>City of Zrenjanin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4B14E11D" w:rsidR="00E35E4A" w:rsidRPr="00833228" w:rsidRDefault="000F5855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5D9227FC" w:rsidR="00E35E4A" w:rsidRPr="00833228" w:rsidRDefault="000F5855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0F5855">
              <w:rPr>
                <w:rFonts w:ascii="Trebuchet MS" w:hAnsi="Trebuchet MS"/>
                <w:lang w:val="en-US"/>
              </w:rPr>
              <w:t>Middle 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0D4925D3" w:rsidR="00E35E4A" w:rsidRPr="00833228" w:rsidRDefault="00A12D8D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12D8D">
              <w:rPr>
                <w:rFonts w:ascii="Trebuchet MS" w:hAnsi="Trebuchet MS"/>
                <w:lang w:val="en-US"/>
              </w:rPr>
              <w:t>183.190,00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EA85" w14:textId="77777777" w:rsidR="00E35E4A" w:rsidRDefault="000F5855" w:rsidP="004B3706">
            <w:pPr>
              <w:rPr>
                <w:rFonts w:ascii="Trebuchet MS" w:hAnsi="Trebuchet MS" w:cs="Trebuchet MS"/>
                <w:lang w:val="en-GB"/>
              </w:rPr>
            </w:pPr>
            <w:r w:rsidRPr="00FA5060">
              <w:rPr>
                <w:rFonts w:ascii="Trebuchet MS" w:hAnsi="Trebuchet MS" w:cs="Trebuchet MS"/>
              </w:rPr>
              <w:t>Zrenjanin</w:t>
            </w:r>
            <w:r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Trg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 xml:space="preserve"> </w:t>
            </w: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slobode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 xml:space="preserve"> 10</w:t>
            </w:r>
          </w:p>
          <w:p w14:paraId="284B3481" w14:textId="2CA52B28" w:rsidR="000F5855" w:rsidRPr="00833228" w:rsidRDefault="000F5855" w:rsidP="004B370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 w:cs="Trebuchet MS"/>
                <w:lang w:val="en-GB"/>
              </w:rPr>
              <w:t xml:space="preserve">Tel. </w:t>
            </w:r>
            <w:r w:rsidRPr="00FA5060">
              <w:rPr>
                <w:rFonts w:ascii="Trebuchet MS" w:hAnsi="Trebuchet MS" w:cs="Trebuchet MS"/>
              </w:rPr>
              <w:t>+381 23 564 585</w:t>
            </w:r>
          </w:p>
        </w:tc>
      </w:tr>
      <w:tr w:rsidR="000F5855" w:rsidRPr="00D86A2C" w14:paraId="4038A366" w14:textId="77777777" w:rsidTr="004B3706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0F5855" w:rsidRPr="00A978D2" w:rsidRDefault="000F5855" w:rsidP="000F5855">
            <w:pPr>
              <w:jc w:val="center"/>
              <w:rPr>
                <w:rFonts w:ascii="Trebuchet MS" w:hAnsi="Trebuchet MS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369196BC" w:rsidR="000F5855" w:rsidRPr="00833228" w:rsidRDefault="000F5855" w:rsidP="000F5855">
            <w:pPr>
              <w:jc w:val="center"/>
              <w:rPr>
                <w:rFonts w:ascii="Trebuchet MS" w:hAnsi="Trebuchet MS"/>
                <w:lang w:val="en-US"/>
              </w:rPr>
            </w:pPr>
            <w:r w:rsidRPr="000F5855">
              <w:rPr>
                <w:rFonts w:ascii="Trebuchet MS" w:hAnsi="Trebuchet MS"/>
                <w:lang w:val="en-US"/>
              </w:rPr>
              <w:t>Business Incubator Zrenjanin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171762C5" w:rsidR="000F5855" w:rsidRPr="00833228" w:rsidRDefault="000F5855" w:rsidP="000F5855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7734D224" w:rsidR="000F5855" w:rsidRPr="00833228" w:rsidRDefault="000F5855" w:rsidP="000F5855">
            <w:pPr>
              <w:jc w:val="center"/>
              <w:rPr>
                <w:rFonts w:ascii="Trebuchet MS" w:hAnsi="Trebuchet MS"/>
                <w:lang w:val="en-US"/>
              </w:rPr>
            </w:pPr>
            <w:r w:rsidRPr="000F5855">
              <w:rPr>
                <w:rFonts w:ascii="Trebuchet MS" w:hAnsi="Trebuchet MS"/>
                <w:lang w:val="en-US"/>
              </w:rPr>
              <w:t>Middle 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4E132E42" w:rsidR="000F5855" w:rsidRPr="00833228" w:rsidRDefault="00A12D8D" w:rsidP="000F5855">
            <w:pPr>
              <w:jc w:val="center"/>
              <w:rPr>
                <w:rFonts w:ascii="Trebuchet MS" w:hAnsi="Trebuchet MS"/>
                <w:lang w:val="en-US"/>
              </w:rPr>
            </w:pPr>
            <w:r w:rsidRPr="00A12D8D">
              <w:rPr>
                <w:rFonts w:ascii="Trebuchet MS" w:hAnsi="Trebuchet MS"/>
                <w:lang w:val="en-US"/>
              </w:rPr>
              <w:t>76.920,00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A038" w14:textId="628CA775" w:rsidR="000F5855" w:rsidRDefault="000F5855" w:rsidP="004B3706">
            <w:pPr>
              <w:rPr>
                <w:rFonts w:ascii="Trebuchet MS" w:hAnsi="Trebuchet MS" w:cs="Trebuchet MS"/>
                <w:lang w:val="en-GB"/>
              </w:rPr>
            </w:pPr>
            <w:r w:rsidRPr="00FA5060">
              <w:rPr>
                <w:rFonts w:ascii="Trebuchet MS" w:hAnsi="Trebuchet MS" w:cs="Trebuchet MS"/>
              </w:rPr>
              <w:t>Zrenjanin</w:t>
            </w:r>
            <w:r>
              <w:rPr>
                <w:rFonts w:ascii="Trebuchet MS" w:hAnsi="Trebuchet MS" w:cs="Trebuchet MS"/>
              </w:rPr>
              <w:t xml:space="preserve">, </w:t>
            </w:r>
            <w:r w:rsidRPr="00FA5060">
              <w:rPr>
                <w:rFonts w:ascii="Trebuchet MS" w:hAnsi="Trebuchet MS" w:cs="Trebuchet MS"/>
                <w:lang w:val="en-GB"/>
              </w:rPr>
              <w:t xml:space="preserve">K.A.I </w:t>
            </w: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Karađorđevića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 xml:space="preserve"> 2</w:t>
            </w:r>
          </w:p>
          <w:p w14:paraId="7CCF8545" w14:textId="058F3301" w:rsidR="000F5855" w:rsidRPr="00833228" w:rsidRDefault="000F5855" w:rsidP="004B370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 w:cs="Trebuchet MS"/>
                <w:lang w:val="en-GB"/>
              </w:rPr>
              <w:t xml:space="preserve">Tel. </w:t>
            </w:r>
            <w:r w:rsidRPr="00FA5060">
              <w:rPr>
                <w:rFonts w:ascii="Trebuchet MS" w:hAnsi="Trebuchet MS" w:cs="Trebuchet MS"/>
                <w:lang w:val="en-GB"/>
              </w:rPr>
              <w:t>+38123512260</w:t>
            </w:r>
          </w:p>
        </w:tc>
      </w:tr>
      <w:tr w:rsidR="00812D54" w:rsidRPr="00D86A2C" w14:paraId="347E2EA7" w14:textId="77777777" w:rsidTr="004B3706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77777777" w:rsidR="00812D54" w:rsidRPr="00D86A2C" w:rsidRDefault="00812D54" w:rsidP="00812D54">
            <w:pPr>
              <w:jc w:val="center"/>
              <w:rPr>
                <w:rFonts w:ascii="Trebuchet MS" w:hAnsi="Trebuchet MS"/>
                <w:color w:val="5B9BD5"/>
                <w:lang w:val="en-US"/>
              </w:rPr>
            </w:pPr>
            <w:r w:rsidRPr="00D86A2C">
              <w:rPr>
                <w:rFonts w:ascii="Trebuchet MS" w:hAnsi="Trebuchet MS"/>
                <w:color w:val="5B9BD5"/>
                <w:lang w:val="en-US"/>
              </w:rPr>
              <w:t xml:space="preserve">PARTNER </w:t>
            </w:r>
            <w:r>
              <w:rPr>
                <w:rFonts w:ascii="Trebuchet MS" w:hAnsi="Trebuchet MS"/>
                <w:color w:val="5B9BD5"/>
                <w:lang w:val="en-US"/>
              </w:rPr>
              <w:t>3</w:t>
            </w:r>
            <w:r w:rsidRPr="00D86A2C">
              <w:rPr>
                <w:rFonts w:ascii="Trebuchet MS" w:hAnsi="Trebuchet MS"/>
                <w:color w:val="5B9BD5"/>
                <w:lang w:val="en-US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40C16598" w:rsidR="00812D54" w:rsidRPr="00833228" w:rsidRDefault="000F5855" w:rsidP="006C0401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Fii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 xml:space="preserve"> </w:t>
            </w: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Mehedintiului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 xml:space="preserve"> Association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566353DB" w:rsidR="00812D54" w:rsidRPr="00833228" w:rsidRDefault="000F5855" w:rsidP="006C0401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0433EC0C" w:rsidR="00812D54" w:rsidRPr="00833228" w:rsidRDefault="004B3706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FA5060">
              <w:rPr>
                <w:rFonts w:ascii="Trebuchet MS" w:hAnsi="Trebuchet MS" w:cs="Trebuchet MS"/>
                <w:lang w:val="en-GB"/>
              </w:rPr>
              <w:t>Timiş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33F6C6D7" w:rsidR="00812D54" w:rsidRPr="00833228" w:rsidRDefault="00A12D8D" w:rsidP="006C0401">
            <w:pPr>
              <w:jc w:val="center"/>
              <w:rPr>
                <w:rFonts w:ascii="Trebuchet MS" w:hAnsi="Trebuchet MS"/>
                <w:lang w:val="en-US"/>
              </w:rPr>
            </w:pPr>
            <w:r w:rsidRPr="00A12D8D">
              <w:rPr>
                <w:rFonts w:ascii="Trebuchet MS" w:hAnsi="Trebuchet MS"/>
                <w:lang w:val="en-US"/>
              </w:rPr>
              <w:t>85.370,00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A259" w14:textId="77777777" w:rsidR="00812D54" w:rsidRDefault="000F5855" w:rsidP="004B3706">
            <w:pPr>
              <w:rPr>
                <w:rFonts w:ascii="Trebuchet MS" w:hAnsi="Trebuchet MS" w:cs="Trebuchet MS"/>
                <w:lang w:val="en-GB"/>
              </w:rPr>
            </w:pPr>
            <w:r w:rsidRPr="00FA5060">
              <w:rPr>
                <w:rFonts w:ascii="Trebuchet MS" w:hAnsi="Trebuchet MS" w:cs="Trebuchet MS"/>
                <w:lang w:val="en-GB"/>
              </w:rPr>
              <w:t>Timisoara</w:t>
            </w:r>
            <w:r>
              <w:rPr>
                <w:rFonts w:ascii="Trebuchet MS" w:hAnsi="Trebuchet MS" w:cs="Trebuchet MS"/>
                <w:lang w:val="en-GB"/>
              </w:rPr>
              <w:t xml:space="preserve">, </w:t>
            </w:r>
            <w:r w:rsidRPr="00FA5060">
              <w:rPr>
                <w:rFonts w:ascii="Trebuchet MS" w:hAnsi="Trebuchet MS" w:cs="Trebuchet MS"/>
                <w:lang w:val="en-GB"/>
              </w:rPr>
              <w:t xml:space="preserve">str. </w:t>
            </w: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Enric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 xml:space="preserve"> </w:t>
            </w:r>
            <w:proofErr w:type="spellStart"/>
            <w:r w:rsidRPr="00FA5060">
              <w:rPr>
                <w:rFonts w:ascii="Trebuchet MS" w:hAnsi="Trebuchet MS" w:cs="Trebuchet MS"/>
                <w:lang w:val="en-GB"/>
              </w:rPr>
              <w:t>Baader</w:t>
            </w:r>
            <w:proofErr w:type="spellEnd"/>
            <w:r w:rsidRPr="00FA5060">
              <w:rPr>
                <w:rFonts w:ascii="Trebuchet MS" w:hAnsi="Trebuchet MS" w:cs="Trebuchet MS"/>
                <w:lang w:val="en-GB"/>
              </w:rPr>
              <w:t>, nr.13</w:t>
            </w:r>
          </w:p>
          <w:p w14:paraId="20BAACA6" w14:textId="2D71358D" w:rsidR="000F5855" w:rsidRPr="00833228" w:rsidRDefault="000F5855" w:rsidP="004B3706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 w:cs="Trebuchet MS"/>
                <w:lang w:val="en-GB"/>
              </w:rPr>
              <w:t xml:space="preserve">Tel. </w:t>
            </w:r>
            <w:r w:rsidRPr="00FA5060">
              <w:rPr>
                <w:rFonts w:ascii="Trebuchet MS" w:hAnsi="Trebuchet MS" w:cs="Trebuchet MS"/>
                <w:lang w:val="en-GB"/>
              </w:rPr>
              <w:t>0040749.272.199</w:t>
            </w:r>
          </w:p>
        </w:tc>
      </w:tr>
    </w:tbl>
    <w:p w14:paraId="79C16195" w14:textId="3562CC6F" w:rsidR="00E35E4A" w:rsidRPr="00D86A2C" w:rsidRDefault="00C71E34" w:rsidP="00D86A2C">
      <w:pPr>
        <w:rPr>
          <w:lang w:val="en-US"/>
        </w:rPr>
      </w:pPr>
      <w:bookmarkStart w:id="1" w:name="_GoBack"/>
      <w:bookmarkEnd w:id="1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176C3363" wp14:editId="729DB6A0">
            <wp:simplePos x="0" y="0"/>
            <wp:positionH relativeFrom="margin">
              <wp:posOffset>306705</wp:posOffset>
            </wp:positionH>
            <wp:positionV relativeFrom="paragraph">
              <wp:posOffset>718820</wp:posOffset>
            </wp:positionV>
            <wp:extent cx="5191760" cy="3893820"/>
            <wp:effectExtent l="323850" t="323850" r="332740" b="316230"/>
            <wp:wrapTight wrapText="bothSides">
              <wp:wrapPolygon edited="0">
                <wp:start x="2615" y="-1796"/>
                <wp:lineTo x="-317" y="-1585"/>
                <wp:lineTo x="-317" y="106"/>
                <wp:lineTo x="-1030" y="106"/>
                <wp:lineTo x="-1030" y="1796"/>
                <wp:lineTo x="-1347" y="1796"/>
                <wp:lineTo x="-1347" y="21135"/>
                <wp:lineTo x="-1189" y="22192"/>
                <wp:lineTo x="-159" y="23037"/>
                <wp:lineTo x="-79" y="23249"/>
                <wp:lineTo x="19180" y="23249"/>
                <wp:lineTo x="19259" y="23037"/>
                <wp:lineTo x="21241" y="22086"/>
                <wp:lineTo x="21320" y="22086"/>
                <wp:lineTo x="22430" y="20395"/>
                <wp:lineTo x="22826" y="18705"/>
                <wp:lineTo x="22905" y="106"/>
                <wp:lineTo x="21716" y="-1479"/>
                <wp:lineTo x="21637" y="-1796"/>
                <wp:lineTo x="2615" y="-17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3893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8C190F" wp14:editId="2835C10A">
            <wp:simplePos x="0" y="0"/>
            <wp:positionH relativeFrom="margin">
              <wp:posOffset>5153025</wp:posOffset>
            </wp:positionH>
            <wp:positionV relativeFrom="paragraph">
              <wp:posOffset>719455</wp:posOffset>
            </wp:positionV>
            <wp:extent cx="5229225" cy="3921760"/>
            <wp:effectExtent l="329883" t="317817" r="358457" b="320358"/>
            <wp:wrapTight wrapText="bothSides">
              <wp:wrapPolygon edited="0">
                <wp:start x="-1313" y="21738"/>
                <wp:lineTo x="-1077" y="21843"/>
                <wp:lineTo x="104" y="23417"/>
                <wp:lineTo x="18989" y="23312"/>
                <wp:lineTo x="20248" y="22997"/>
                <wp:lineTo x="21507" y="22053"/>
                <wp:lineTo x="21507" y="21948"/>
                <wp:lineTo x="22687" y="18590"/>
                <wp:lineTo x="22845" y="18486"/>
                <wp:lineTo x="22845" y="19"/>
                <wp:lineTo x="22687" y="-86"/>
                <wp:lineTo x="21586" y="-1660"/>
                <wp:lineTo x="1363" y="-1869"/>
                <wp:lineTo x="1363" y="-1450"/>
                <wp:lineTo x="104" y="-1450"/>
                <wp:lineTo x="104" y="-505"/>
                <wp:lineTo x="-1155" y="-505"/>
                <wp:lineTo x="-1313" y="3587"/>
                <wp:lineTo x="-1313" y="2173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79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9225" cy="39217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5E4A" w:rsidRPr="00D86A2C" w:rsidSect="00E35E4A">
      <w:headerReference w:type="default" r:id="rId10"/>
      <w:footerReference w:type="default" r:id="rId11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8098" w14:textId="77777777" w:rsidR="00F73782" w:rsidRDefault="00F73782">
      <w:r>
        <w:separator/>
      </w:r>
    </w:p>
  </w:endnote>
  <w:endnote w:type="continuationSeparator" w:id="0">
    <w:p w14:paraId="2B69864E" w14:textId="77777777" w:rsidR="00F73782" w:rsidRDefault="00F7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FE84" w14:textId="77777777" w:rsidR="00F73782" w:rsidRDefault="00F73782">
      <w:r>
        <w:separator/>
      </w:r>
    </w:p>
  </w:footnote>
  <w:footnote w:type="continuationSeparator" w:id="0">
    <w:p w14:paraId="07EA2331" w14:textId="77777777" w:rsidR="00F73782" w:rsidRDefault="00F73782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E0693"/>
    <w:rsid w:val="000F5698"/>
    <w:rsid w:val="000F5855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34A45"/>
    <w:rsid w:val="002400C1"/>
    <w:rsid w:val="00246C1A"/>
    <w:rsid w:val="002519C4"/>
    <w:rsid w:val="00252D70"/>
    <w:rsid w:val="0025404A"/>
    <w:rsid w:val="00272F4C"/>
    <w:rsid w:val="00291BE5"/>
    <w:rsid w:val="0029310C"/>
    <w:rsid w:val="002943A2"/>
    <w:rsid w:val="002A0E72"/>
    <w:rsid w:val="002C3921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74442"/>
    <w:rsid w:val="0038676E"/>
    <w:rsid w:val="003A1008"/>
    <w:rsid w:val="003A791F"/>
    <w:rsid w:val="003B249F"/>
    <w:rsid w:val="003B6E56"/>
    <w:rsid w:val="003F2EBD"/>
    <w:rsid w:val="003F7C7F"/>
    <w:rsid w:val="004060DC"/>
    <w:rsid w:val="0041123F"/>
    <w:rsid w:val="00411CD3"/>
    <w:rsid w:val="00416854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249D"/>
    <w:rsid w:val="004A4574"/>
    <w:rsid w:val="004A4618"/>
    <w:rsid w:val="004B3706"/>
    <w:rsid w:val="004D1B10"/>
    <w:rsid w:val="004D3C57"/>
    <w:rsid w:val="004E4716"/>
    <w:rsid w:val="004F5024"/>
    <w:rsid w:val="0050437F"/>
    <w:rsid w:val="0050506E"/>
    <w:rsid w:val="00521F1F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5F117C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2EBB"/>
    <w:rsid w:val="006B7404"/>
    <w:rsid w:val="006C0401"/>
    <w:rsid w:val="006C18D6"/>
    <w:rsid w:val="006D38B9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B4B90"/>
    <w:rsid w:val="008C1E51"/>
    <w:rsid w:val="008D5C68"/>
    <w:rsid w:val="008E329D"/>
    <w:rsid w:val="008E65B5"/>
    <w:rsid w:val="008F3594"/>
    <w:rsid w:val="008F65A8"/>
    <w:rsid w:val="0090116D"/>
    <w:rsid w:val="00906811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2EB6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12D8D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28FC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1E34"/>
    <w:rsid w:val="00C7606E"/>
    <w:rsid w:val="00C80683"/>
    <w:rsid w:val="00C917BD"/>
    <w:rsid w:val="00C979CA"/>
    <w:rsid w:val="00CC5D2F"/>
    <w:rsid w:val="00CD2EBD"/>
    <w:rsid w:val="00CF0081"/>
    <w:rsid w:val="00CF614E"/>
    <w:rsid w:val="00CF7157"/>
    <w:rsid w:val="00D0183D"/>
    <w:rsid w:val="00D202CA"/>
    <w:rsid w:val="00D20DD4"/>
    <w:rsid w:val="00D406C3"/>
    <w:rsid w:val="00D465AB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3747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73782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."/>
  <w:listSeparator w:val=",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20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F716-E498-4491-88FF-C67778B2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691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Mihai-Catalin, Radu</cp:lastModifiedBy>
  <cp:revision>22</cp:revision>
  <cp:lastPrinted>2014-07-04T11:56:00Z</cp:lastPrinted>
  <dcterms:created xsi:type="dcterms:W3CDTF">2019-02-26T14:16:00Z</dcterms:created>
  <dcterms:modified xsi:type="dcterms:W3CDTF">2019-07-05T09:09:00Z</dcterms:modified>
</cp:coreProperties>
</file>